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682C4" w14:textId="77777777" w:rsidR="0027579F" w:rsidRDefault="0004369D">
      <w:pPr>
        <w:jc w:val="center"/>
        <w:rPr>
          <w:b/>
          <w:bCs/>
        </w:rPr>
      </w:pPr>
      <w:r>
        <w:rPr>
          <w:b/>
          <w:bCs/>
        </w:rPr>
        <w:t>Appendix 1</w:t>
      </w:r>
    </w:p>
    <w:p w14:paraId="37535DFD" w14:textId="77777777" w:rsidR="0027579F" w:rsidRDefault="0004369D">
      <w:pPr>
        <w:jc w:val="center"/>
        <w:rPr>
          <w:i/>
          <w:iCs/>
        </w:rPr>
      </w:pPr>
      <w:r>
        <w:rPr>
          <w:i/>
          <w:iCs/>
        </w:rPr>
        <w:t xml:space="preserve">Facilitating constructive discussions on difficult socio-scientific issues  </w:t>
      </w:r>
    </w:p>
    <w:p w14:paraId="14498303" w14:textId="77777777" w:rsidR="0027579F" w:rsidRDefault="0027579F">
      <w:pPr>
        <w:rPr>
          <w:b/>
          <w:bCs/>
        </w:rPr>
      </w:pPr>
    </w:p>
    <w:p w14:paraId="6333C43B" w14:textId="77777777" w:rsidR="0027579F" w:rsidRDefault="0004369D">
      <w:pPr>
        <w:jc w:val="center"/>
        <w:rPr>
          <w:b/>
          <w:bCs/>
        </w:rPr>
      </w:pPr>
      <w:r>
        <w:rPr>
          <w:b/>
          <w:bCs/>
        </w:rPr>
        <w:t>Example Lesson Plan</w:t>
      </w:r>
    </w:p>
    <w:p w14:paraId="53FC09D6" w14:textId="77777777" w:rsidR="0027579F" w:rsidRDefault="0027579F">
      <w:pPr>
        <w:rPr>
          <w:b/>
          <w:bCs/>
        </w:rPr>
      </w:pPr>
    </w:p>
    <w:p w14:paraId="071240FF" w14:textId="77777777" w:rsidR="0027579F" w:rsidRDefault="0004369D">
      <w:pPr>
        <w:rPr>
          <w:b/>
          <w:bCs/>
        </w:rPr>
      </w:pPr>
      <w:r>
        <w:rPr>
          <w:b/>
          <w:bCs/>
        </w:rPr>
        <w:t>Learning Objectives</w:t>
      </w:r>
    </w:p>
    <w:p w14:paraId="6254197A" w14:textId="77777777" w:rsidR="0027579F" w:rsidRDefault="0027579F">
      <w:pPr>
        <w:rPr>
          <w:b/>
          <w:bCs/>
        </w:rPr>
      </w:pPr>
    </w:p>
    <w:p w14:paraId="4F6248EB" w14:textId="77777777" w:rsidR="0027579F" w:rsidRDefault="0004369D">
      <w:r>
        <w:t>The following lesson plan was designed to facilitate a constructive discussion on issues of racial and ethnic disparities in health and healthcare in the context of the COVID-19 (SaRS-CoV-2) pandemic. We established the following learning objectives in lin</w:t>
      </w:r>
      <w:r>
        <w:t xml:space="preserve">e with the core competencies outlined in </w:t>
      </w:r>
      <w:r>
        <w:rPr>
          <w:i/>
          <w:iCs/>
        </w:rPr>
        <w:t>Vision and Change in Undergraduate Biology Education</w:t>
      </w:r>
      <w:r>
        <w:t xml:space="preserve">, as summarized in Clemmons et al. (2020): </w:t>
      </w:r>
    </w:p>
    <w:p w14:paraId="089432EB" w14:textId="77777777" w:rsidR="0027579F" w:rsidRDefault="0027579F">
      <w:pPr>
        <w:rPr>
          <w:b/>
          <w:bCs/>
        </w:rPr>
      </w:pPr>
    </w:p>
    <w:p w14:paraId="38722927" w14:textId="77777777" w:rsidR="0027579F" w:rsidRDefault="0004369D">
      <w:pPr>
        <w:pStyle w:val="ListParagraph"/>
        <w:numPr>
          <w:ilvl w:val="0"/>
          <w:numId w:val="4"/>
        </w:numPr>
        <w:rPr>
          <w:rFonts w:ascii="Times New Roman" w:hAnsi="Times New Roman" w:cs="Times New Roman"/>
        </w:rPr>
      </w:pPr>
      <w:r>
        <w:rPr>
          <w:rFonts w:ascii="Times New Roman" w:hAnsi="Times New Roman" w:cs="Times New Roman"/>
        </w:rPr>
        <w:t>Define health disparities (in the context of COVID-19).</w:t>
      </w:r>
    </w:p>
    <w:p w14:paraId="0EA19776" w14:textId="77777777" w:rsidR="0027579F" w:rsidRDefault="0004369D">
      <w:pPr>
        <w:pStyle w:val="ListParagraph"/>
        <w:numPr>
          <w:ilvl w:val="0"/>
          <w:numId w:val="4"/>
        </w:numPr>
        <w:rPr>
          <w:rFonts w:ascii="Times New Roman" w:hAnsi="Times New Roman" w:cs="Times New Roman"/>
        </w:rPr>
      </w:pPr>
      <w:r>
        <w:rPr>
          <w:rFonts w:ascii="Times New Roman" w:hAnsi="Times New Roman" w:cs="Times New Roman"/>
        </w:rPr>
        <w:t>Evaluate and interpret quantitative data demonstrating racial/</w:t>
      </w:r>
      <w:r>
        <w:rPr>
          <w:rFonts w:ascii="Times New Roman" w:hAnsi="Times New Roman" w:cs="Times New Roman"/>
        </w:rPr>
        <w:t>ethnic disparities in health and healthcare, then identify the causes and conditions that contribute to COVID-19 heath disparities.</w:t>
      </w:r>
    </w:p>
    <w:p w14:paraId="683C389F" w14:textId="77777777" w:rsidR="0027579F" w:rsidRDefault="0004369D">
      <w:pPr>
        <w:pStyle w:val="ListParagraph"/>
        <w:numPr>
          <w:ilvl w:val="0"/>
          <w:numId w:val="4"/>
        </w:numPr>
        <w:rPr>
          <w:rFonts w:ascii="Times New Roman" w:hAnsi="Times New Roman" w:cs="Times New Roman"/>
        </w:rPr>
      </w:pPr>
      <w:r>
        <w:rPr>
          <w:rFonts w:ascii="Times New Roman" w:hAnsi="Times New Roman" w:cs="Times New Roman"/>
        </w:rPr>
        <w:t>Differentiate between strategies for reducing COVID-19 health disparities from strategies for reducing overall population CO</w:t>
      </w:r>
      <w:r>
        <w:rPr>
          <w:rFonts w:ascii="Times New Roman" w:hAnsi="Times New Roman" w:cs="Times New Roman"/>
        </w:rPr>
        <w:t>VID-19 morbidity and mortality.</w:t>
      </w:r>
    </w:p>
    <w:p w14:paraId="695512C9" w14:textId="77777777" w:rsidR="0027579F" w:rsidRDefault="0004369D">
      <w:pPr>
        <w:pStyle w:val="ListParagraph"/>
        <w:numPr>
          <w:ilvl w:val="0"/>
          <w:numId w:val="4"/>
        </w:numPr>
        <w:rPr>
          <w:rFonts w:ascii="Times New Roman" w:hAnsi="Times New Roman" w:cs="Times New Roman"/>
        </w:rPr>
      </w:pPr>
      <w:r>
        <w:rPr>
          <w:rFonts w:ascii="Times New Roman" w:hAnsi="Times New Roman" w:cs="Times New Roman"/>
        </w:rPr>
        <w:t xml:space="preserve">Consider how pseudo-scientific arguments can be used to support racist ideas and how the scientific community can address these issues. </w:t>
      </w:r>
    </w:p>
    <w:p w14:paraId="7FBE9FDA" w14:textId="77777777" w:rsidR="0027579F" w:rsidRDefault="0027579F"/>
    <w:p w14:paraId="4F07718B" w14:textId="77777777" w:rsidR="0027579F" w:rsidRDefault="0004369D">
      <w:pPr>
        <w:rPr>
          <w:b/>
          <w:bCs/>
        </w:rPr>
      </w:pPr>
      <w:r>
        <w:rPr>
          <w:b/>
          <w:bCs/>
        </w:rPr>
        <w:t>Student Population</w:t>
      </w:r>
    </w:p>
    <w:p w14:paraId="6B9BCB5E" w14:textId="77777777" w:rsidR="0027579F" w:rsidRDefault="0027579F">
      <w:pPr>
        <w:rPr>
          <w:b/>
          <w:bCs/>
        </w:rPr>
      </w:pPr>
    </w:p>
    <w:p w14:paraId="52D5C83D" w14:textId="77777777" w:rsidR="0027579F" w:rsidRDefault="0004369D">
      <w:r>
        <w:t>The lesson plan was carried out at a mid-sized, private, primarily</w:t>
      </w:r>
      <w:r>
        <w:t xml:space="preserve"> undergraduate university. As of 2020, 52% of the students are White, 16.4% are Hispanic/Latino, 14.7% are Asian, 8.8% are two or more races, 2.6% are nonresident aliens, 2.6% are race/ethnicity unknown, 2.5% are Black/African American, 0.2% are Hawaiian/P</w:t>
      </w:r>
      <w:r>
        <w:t xml:space="preserve">acific Islander, and 0.1% are American Indian/Alaska Native. In addition, 61% are women, 20% are first-generation to attend college, and 18% are awarded Pell grants. </w:t>
      </w:r>
    </w:p>
    <w:p w14:paraId="6E6FA5FF" w14:textId="77777777" w:rsidR="0027579F" w:rsidRDefault="0027579F"/>
    <w:p w14:paraId="4C401FAC" w14:textId="77777777" w:rsidR="0027579F" w:rsidRDefault="0004369D">
      <w:r>
        <w:t>Discussion of socio-scientific issues was conducted as part of a foundational seminar on</w:t>
      </w:r>
      <w:r>
        <w:t xml:space="preserve"> critical thinking, problem solving, communication and teamwork in science and engineering. The participating students were first-year undergraduates primarily pursuing studies in STEM majors; however, there were always students from non-STEM majors in eac</w:t>
      </w:r>
      <w:r>
        <w:t xml:space="preserve">h class. The lesson plan was used in 10 different sections of the seminar where the average class size was approximately 25 students. </w:t>
      </w:r>
    </w:p>
    <w:p w14:paraId="530BE306" w14:textId="77777777" w:rsidR="0027579F" w:rsidRDefault="0027579F"/>
    <w:p w14:paraId="0A113958" w14:textId="77777777" w:rsidR="0027579F" w:rsidRDefault="0004369D">
      <w:pPr>
        <w:rPr>
          <w:b/>
          <w:bCs/>
        </w:rPr>
      </w:pPr>
      <w:r>
        <w:rPr>
          <w:b/>
          <w:bCs/>
        </w:rPr>
        <w:t>Time</w:t>
      </w:r>
    </w:p>
    <w:p w14:paraId="51D1A87A" w14:textId="77777777" w:rsidR="0027579F" w:rsidRDefault="0027579F">
      <w:pPr>
        <w:rPr>
          <w:b/>
          <w:bCs/>
        </w:rPr>
      </w:pPr>
    </w:p>
    <w:p w14:paraId="73394368" w14:textId="77777777" w:rsidR="0027579F" w:rsidRDefault="0004369D">
      <w:r>
        <w:t xml:space="preserve">Approximately 45-60 minutes. </w:t>
      </w:r>
    </w:p>
    <w:p w14:paraId="76DBECFB" w14:textId="77777777" w:rsidR="0027579F" w:rsidRDefault="0027579F"/>
    <w:p w14:paraId="6E1F514B" w14:textId="77777777" w:rsidR="0027579F" w:rsidRDefault="0004369D">
      <w:pPr>
        <w:rPr>
          <w:b/>
          <w:bCs/>
        </w:rPr>
      </w:pPr>
      <w:r>
        <w:rPr>
          <w:b/>
          <w:bCs/>
        </w:rPr>
        <w:t>Pre-Discussion Reading Materials</w:t>
      </w:r>
    </w:p>
    <w:p w14:paraId="427E8AAE" w14:textId="77777777" w:rsidR="0027579F" w:rsidRDefault="0027579F">
      <w:pPr>
        <w:rPr>
          <w:b/>
          <w:bCs/>
        </w:rPr>
      </w:pPr>
    </w:p>
    <w:p w14:paraId="0B9B065D" w14:textId="77777777" w:rsidR="0027579F" w:rsidRDefault="0004369D">
      <w:r>
        <w:t>Students were asked to read the following article</w:t>
      </w:r>
      <w:r>
        <w:t xml:space="preserve">s prior to class and to look up terms that they do not understand:  </w:t>
      </w:r>
    </w:p>
    <w:p w14:paraId="554FC665" w14:textId="77777777" w:rsidR="0027579F" w:rsidRDefault="0027579F">
      <w:pPr>
        <w:rPr>
          <w:b/>
          <w:bCs/>
        </w:rPr>
      </w:pPr>
    </w:p>
    <w:p w14:paraId="707AFBC3" w14:textId="77777777" w:rsidR="0027579F" w:rsidRDefault="0004369D">
      <w:pPr>
        <w:pStyle w:val="ListParagraph"/>
        <w:numPr>
          <w:ilvl w:val="0"/>
          <w:numId w:val="7"/>
        </w:numPr>
        <w:rPr>
          <w:rFonts w:ascii="Times New Roman" w:hAnsi="Times New Roman" w:cs="Times New Roman"/>
        </w:rPr>
      </w:pPr>
      <w:r>
        <w:rPr>
          <w:rFonts w:ascii="Times New Roman" w:hAnsi="Times New Roman" w:cs="Times New Roman"/>
        </w:rPr>
        <w:t xml:space="preserve">Reeves TNF Sarah Reber, and Richard V. 2020. Race gaps in COVID-19 deaths are even bigger than they appear. </w:t>
      </w:r>
      <w:r>
        <w:rPr>
          <w:rFonts w:ascii="Times New Roman" w:hAnsi="Times New Roman" w:cs="Times New Roman"/>
          <w:i/>
          <w:iCs/>
        </w:rPr>
        <w:t>The Brookings Institution</w:t>
      </w:r>
      <w:r>
        <w:rPr>
          <w:rFonts w:ascii="Times New Roman" w:hAnsi="Times New Roman" w:cs="Times New Roman"/>
        </w:rPr>
        <w:t xml:space="preserve">. </w:t>
      </w:r>
      <w:hyperlink r:id="rId7" w:history="1">
        <w:r>
          <w:rPr>
            <w:rStyle w:val="Hyperlink"/>
            <w:rFonts w:ascii="Times New Roman" w:hAnsi="Times New Roman" w:cs="Times New Roman"/>
          </w:rPr>
          <w:t>https://www.brookings.edu/blog/up-front/2020/06/16/race-gaps-in-covid-19-deaths-are-even-bigger-than-they-appear/</w:t>
        </w:r>
      </w:hyperlink>
    </w:p>
    <w:p w14:paraId="39195755" w14:textId="77777777" w:rsidR="0027579F" w:rsidRDefault="0004369D">
      <w:pPr>
        <w:pStyle w:val="ListParagraph"/>
        <w:numPr>
          <w:ilvl w:val="0"/>
          <w:numId w:val="7"/>
        </w:numPr>
        <w:rPr>
          <w:rFonts w:ascii="Times New Roman" w:hAnsi="Times New Roman" w:cs="Times New Roman"/>
        </w:rPr>
      </w:pPr>
      <w:proofErr w:type="spellStart"/>
      <w:r>
        <w:rPr>
          <w:rFonts w:ascii="Times New Roman" w:hAnsi="Times New Roman" w:cs="Times New Roman"/>
        </w:rPr>
        <w:t>Chowkwanyun</w:t>
      </w:r>
      <w:proofErr w:type="spellEnd"/>
      <w:r>
        <w:rPr>
          <w:rFonts w:ascii="Times New Roman" w:hAnsi="Times New Roman" w:cs="Times New Roman"/>
        </w:rPr>
        <w:t xml:space="preserve"> M, Reed AL. 2020. Racial Health Disparities and Covid-19 — Caution and Context. </w:t>
      </w:r>
      <w:r>
        <w:rPr>
          <w:rFonts w:ascii="Times New Roman" w:hAnsi="Times New Roman" w:cs="Times New Roman"/>
          <w:i/>
          <w:iCs/>
        </w:rPr>
        <w:t>N Engl J Med</w:t>
      </w:r>
      <w:r>
        <w:rPr>
          <w:rFonts w:ascii="Times New Roman" w:hAnsi="Times New Roman" w:cs="Times New Roman"/>
        </w:rPr>
        <w:t xml:space="preserve"> 383:201–203. https://www.nej</w:t>
      </w:r>
      <w:r>
        <w:rPr>
          <w:rFonts w:ascii="Times New Roman" w:hAnsi="Times New Roman" w:cs="Times New Roman"/>
        </w:rPr>
        <w:t>m.org/doi/full/10.1056/NEJMp2012910</w:t>
      </w:r>
    </w:p>
    <w:p w14:paraId="1C383C83" w14:textId="77777777" w:rsidR="0027579F" w:rsidRDefault="0027579F">
      <w:pPr>
        <w:rPr>
          <w:b/>
          <w:bCs/>
        </w:rPr>
      </w:pPr>
    </w:p>
    <w:p w14:paraId="34761EE5" w14:textId="77777777" w:rsidR="0027579F" w:rsidRDefault="0004369D">
      <w:pPr>
        <w:rPr>
          <w:b/>
          <w:bCs/>
        </w:rPr>
      </w:pPr>
      <w:r>
        <w:rPr>
          <w:b/>
          <w:bCs/>
        </w:rPr>
        <w:t>Pre-Class Discussion Post Prompts</w:t>
      </w:r>
    </w:p>
    <w:p w14:paraId="328BFE99" w14:textId="77777777" w:rsidR="0027579F" w:rsidRDefault="0027579F">
      <w:pPr>
        <w:ind w:left="360" w:hanging="360"/>
        <w:rPr>
          <w:b/>
          <w:bCs/>
        </w:rPr>
      </w:pPr>
    </w:p>
    <w:p w14:paraId="3FB31165" w14:textId="77777777" w:rsidR="0027579F" w:rsidRDefault="0004369D">
      <w:r>
        <w:t>Students are asked to answer at least two of the following questions and/or add to other students’ observations on the online class discussion board.</w:t>
      </w:r>
    </w:p>
    <w:p w14:paraId="53AF130D" w14:textId="77777777" w:rsidR="0027579F" w:rsidRDefault="0027579F">
      <w:pPr>
        <w:ind w:left="360" w:hanging="360"/>
        <w:rPr>
          <w:b/>
          <w:bCs/>
        </w:rPr>
      </w:pPr>
    </w:p>
    <w:p w14:paraId="7E7ABEDF" w14:textId="77777777" w:rsidR="0027579F" w:rsidRDefault="0004369D">
      <w:pPr>
        <w:pStyle w:val="ListParagraph"/>
        <w:numPr>
          <w:ilvl w:val="0"/>
          <w:numId w:val="8"/>
        </w:numPr>
        <w:ind w:left="360"/>
        <w:rPr>
          <w:rFonts w:ascii="Times New Roman" w:hAnsi="Times New Roman" w:cs="Times New Roman"/>
        </w:rPr>
      </w:pPr>
      <w:r>
        <w:rPr>
          <w:rFonts w:ascii="Times New Roman" w:hAnsi="Times New Roman" w:cs="Times New Roman"/>
        </w:rPr>
        <w:t>What struck you about this readin</w:t>
      </w:r>
      <w:r>
        <w:rPr>
          <w:rFonts w:ascii="Times New Roman" w:hAnsi="Times New Roman" w:cs="Times New Roman"/>
        </w:rPr>
        <w:t>g and why?</w:t>
      </w:r>
    </w:p>
    <w:p w14:paraId="45F97975" w14:textId="77777777" w:rsidR="0027579F" w:rsidRDefault="0004369D">
      <w:pPr>
        <w:pStyle w:val="ListParagraph"/>
        <w:numPr>
          <w:ilvl w:val="0"/>
          <w:numId w:val="8"/>
        </w:numPr>
        <w:ind w:left="360"/>
        <w:rPr>
          <w:rFonts w:ascii="Times New Roman" w:hAnsi="Times New Roman" w:cs="Times New Roman"/>
        </w:rPr>
      </w:pPr>
      <w:r>
        <w:rPr>
          <w:rFonts w:ascii="Times New Roman" w:hAnsi="Times New Roman" w:cs="Times New Roman"/>
        </w:rPr>
        <w:t>What was the goal of this writing? Do you think they accomplished that goal?</w:t>
      </w:r>
    </w:p>
    <w:p w14:paraId="0EB54E81" w14:textId="77777777" w:rsidR="0027579F" w:rsidRDefault="0004369D">
      <w:pPr>
        <w:pStyle w:val="ListParagraph"/>
        <w:numPr>
          <w:ilvl w:val="0"/>
          <w:numId w:val="8"/>
        </w:numPr>
        <w:ind w:left="360"/>
        <w:rPr>
          <w:rFonts w:ascii="Times New Roman" w:hAnsi="Times New Roman" w:cs="Times New Roman"/>
        </w:rPr>
      </w:pPr>
      <w:r>
        <w:rPr>
          <w:rFonts w:ascii="Times New Roman" w:hAnsi="Times New Roman" w:cs="Times New Roman"/>
        </w:rPr>
        <w:t>What additional evidence do you think is needed to support the authors assertions?</w:t>
      </w:r>
    </w:p>
    <w:p w14:paraId="5C916BE6" w14:textId="77777777" w:rsidR="0027579F" w:rsidRDefault="0004369D">
      <w:pPr>
        <w:pStyle w:val="ListParagraph"/>
        <w:numPr>
          <w:ilvl w:val="0"/>
          <w:numId w:val="8"/>
        </w:numPr>
        <w:ind w:left="360"/>
        <w:rPr>
          <w:rFonts w:ascii="Times New Roman" w:hAnsi="Times New Roman" w:cs="Times New Roman"/>
        </w:rPr>
      </w:pPr>
      <w:r>
        <w:rPr>
          <w:rFonts w:ascii="Times New Roman" w:hAnsi="Times New Roman" w:cs="Times New Roman"/>
        </w:rPr>
        <w:t>What did you not understand, or confused you, and why?</w:t>
      </w:r>
    </w:p>
    <w:p w14:paraId="51E549DE" w14:textId="77777777" w:rsidR="0027579F" w:rsidRDefault="0027579F"/>
    <w:p w14:paraId="644FB864" w14:textId="77777777" w:rsidR="0027579F" w:rsidRDefault="0004369D">
      <w:pPr>
        <w:rPr>
          <w:b/>
          <w:bCs/>
        </w:rPr>
      </w:pPr>
      <w:r>
        <w:rPr>
          <w:b/>
          <w:bCs/>
        </w:rPr>
        <w:t>In-class Discussion Questions</w:t>
      </w:r>
    </w:p>
    <w:p w14:paraId="6161C000" w14:textId="77777777" w:rsidR="0027579F" w:rsidRDefault="0027579F">
      <w:pPr>
        <w:rPr>
          <w:b/>
          <w:bCs/>
        </w:rPr>
      </w:pPr>
    </w:p>
    <w:p w14:paraId="7E0F9A83" w14:textId="77777777" w:rsidR="0027579F" w:rsidRDefault="0004369D">
      <w:r>
        <w:t>Students are asked to consider a selection of the following questions in both small group discussions and as an entire class.</w:t>
      </w:r>
    </w:p>
    <w:p w14:paraId="37A77D9D" w14:textId="77777777" w:rsidR="0027579F" w:rsidRDefault="0027579F"/>
    <w:p w14:paraId="2F8ACAC6" w14:textId="77777777" w:rsidR="0027579F" w:rsidRDefault="0004369D">
      <w:pPr>
        <w:rPr>
          <w:i/>
          <w:iCs/>
        </w:rPr>
      </w:pPr>
      <w:r>
        <w:rPr>
          <w:i/>
          <w:iCs/>
        </w:rPr>
        <w:t>Define health disparities in the context of COVID-19.</w:t>
      </w:r>
    </w:p>
    <w:p w14:paraId="7A91E67E" w14:textId="77777777" w:rsidR="0027579F" w:rsidRDefault="0004369D">
      <w:pPr>
        <w:pStyle w:val="ListParagraph"/>
        <w:numPr>
          <w:ilvl w:val="0"/>
          <w:numId w:val="10"/>
        </w:numPr>
        <w:rPr>
          <w:rFonts w:ascii="Times New Roman" w:hAnsi="Times New Roman" w:cs="Times New Roman"/>
        </w:rPr>
      </w:pPr>
      <w:r>
        <w:rPr>
          <w:rFonts w:ascii="Times New Roman" w:hAnsi="Times New Roman" w:cs="Times New Roman"/>
        </w:rPr>
        <w:t xml:space="preserve">What does BIPOC mean? What are benefits and concerns related to the </w:t>
      </w:r>
      <w:r>
        <w:rPr>
          <w:rFonts w:ascii="Times New Roman" w:hAnsi="Times New Roman" w:cs="Times New Roman"/>
        </w:rPr>
        <w:t>use of this term?</w:t>
      </w:r>
    </w:p>
    <w:p w14:paraId="4A446470" w14:textId="77777777" w:rsidR="0027579F" w:rsidRDefault="0004369D">
      <w:pPr>
        <w:pStyle w:val="ListParagraph"/>
        <w:numPr>
          <w:ilvl w:val="0"/>
          <w:numId w:val="10"/>
        </w:numPr>
        <w:rPr>
          <w:rFonts w:ascii="Times New Roman" w:hAnsi="Times New Roman" w:cs="Times New Roman"/>
        </w:rPr>
      </w:pPr>
      <w:r>
        <w:rPr>
          <w:rFonts w:ascii="Times New Roman" w:hAnsi="Times New Roman" w:cs="Times New Roman"/>
        </w:rPr>
        <w:t>What are the differences between race and ethnicity?</w:t>
      </w:r>
    </w:p>
    <w:p w14:paraId="3CCDEF7C" w14:textId="77777777" w:rsidR="0027579F" w:rsidRDefault="0027579F">
      <w:pPr>
        <w:rPr>
          <w:i/>
          <w:iCs/>
        </w:rPr>
      </w:pPr>
    </w:p>
    <w:p w14:paraId="436936DF" w14:textId="77777777" w:rsidR="0027579F" w:rsidRDefault="0004369D">
      <w:pPr>
        <w:rPr>
          <w:i/>
          <w:iCs/>
        </w:rPr>
      </w:pPr>
      <w:r>
        <w:rPr>
          <w:i/>
          <w:iCs/>
        </w:rPr>
        <w:t>Evaluate and interpret quantitative data demonstrating racial/ethnic disparities in health and healthcare.</w:t>
      </w:r>
    </w:p>
    <w:p w14:paraId="366AE626" w14:textId="77777777" w:rsidR="0027579F" w:rsidRDefault="0004369D">
      <w:pPr>
        <w:pStyle w:val="ListParagraph"/>
        <w:numPr>
          <w:ilvl w:val="0"/>
          <w:numId w:val="12"/>
        </w:numPr>
        <w:rPr>
          <w:rFonts w:ascii="Times New Roman" w:hAnsi="Times New Roman" w:cs="Times New Roman"/>
        </w:rPr>
      </w:pPr>
      <w:r>
        <w:rPr>
          <w:rFonts w:ascii="Times New Roman" w:hAnsi="Times New Roman" w:cs="Times New Roman"/>
        </w:rPr>
        <w:t>Why do the authors define a “crude death rate?”</w:t>
      </w:r>
    </w:p>
    <w:p w14:paraId="3E0C112D" w14:textId="77777777" w:rsidR="0027579F" w:rsidRDefault="0004369D">
      <w:pPr>
        <w:pStyle w:val="ListParagraph"/>
        <w:numPr>
          <w:ilvl w:val="1"/>
          <w:numId w:val="12"/>
        </w:numPr>
        <w:rPr>
          <w:rFonts w:ascii="Times New Roman" w:hAnsi="Times New Roman" w:cs="Times New Roman"/>
        </w:rPr>
      </w:pPr>
      <w:proofErr w:type="spellStart"/>
      <w:r>
        <w:rPr>
          <w:rFonts w:ascii="Times New Roman" w:hAnsi="Times New Roman" w:cs="Times New Roman"/>
          <w:i/>
          <w:iCs/>
        </w:rPr>
        <w:t>n.b.</w:t>
      </w:r>
      <w:proofErr w:type="spellEnd"/>
      <w:r>
        <w:rPr>
          <w:rFonts w:ascii="Times New Roman" w:hAnsi="Times New Roman" w:cs="Times New Roman"/>
          <w:i/>
          <w:iCs/>
        </w:rPr>
        <w:t xml:space="preserve"> </w:t>
      </w:r>
      <w:r>
        <w:rPr>
          <w:rFonts w:ascii="Times New Roman" w:hAnsi="Times New Roman" w:cs="Times New Roman"/>
        </w:rPr>
        <w:t>Age-adjusting this crude</w:t>
      </w:r>
      <w:r>
        <w:rPr>
          <w:rFonts w:ascii="Times New Roman" w:hAnsi="Times New Roman" w:cs="Times New Roman"/>
        </w:rPr>
        <w:t xml:space="preserve"> death rate makes it such that relative to the proportion of the population from each race at a given age interval, the disparities are much higher than they appear at first glance.</w:t>
      </w:r>
    </w:p>
    <w:p w14:paraId="6FFBCF39" w14:textId="77777777" w:rsidR="0027579F" w:rsidRDefault="0004369D">
      <w:pPr>
        <w:pStyle w:val="ListParagraph"/>
        <w:numPr>
          <w:ilvl w:val="0"/>
          <w:numId w:val="12"/>
        </w:numPr>
        <w:rPr>
          <w:rFonts w:ascii="Times New Roman" w:hAnsi="Times New Roman" w:cs="Times New Roman"/>
        </w:rPr>
      </w:pPr>
      <w:r>
        <w:rPr>
          <w:rFonts w:ascii="Times New Roman" w:hAnsi="Times New Roman" w:cs="Times New Roman"/>
        </w:rPr>
        <w:t xml:space="preserve">How did the Brookings Institute article choose which racial minorities to </w:t>
      </w:r>
      <w:r>
        <w:rPr>
          <w:rFonts w:ascii="Times New Roman" w:hAnsi="Times New Roman" w:cs="Times New Roman"/>
        </w:rPr>
        <w:t>focus on?</w:t>
      </w:r>
    </w:p>
    <w:p w14:paraId="2A49C2C8" w14:textId="77777777" w:rsidR="0027579F" w:rsidRDefault="0004369D">
      <w:pPr>
        <w:pStyle w:val="ListParagraph"/>
        <w:numPr>
          <w:ilvl w:val="1"/>
          <w:numId w:val="12"/>
        </w:numPr>
        <w:rPr>
          <w:rFonts w:ascii="Times New Roman" w:hAnsi="Times New Roman" w:cs="Times New Roman"/>
        </w:rPr>
      </w:pPr>
      <w:proofErr w:type="spellStart"/>
      <w:r>
        <w:rPr>
          <w:rFonts w:ascii="Times New Roman" w:hAnsi="Times New Roman" w:cs="Times New Roman"/>
          <w:i/>
          <w:iCs/>
        </w:rPr>
        <w:t>n.b.</w:t>
      </w:r>
      <w:proofErr w:type="spellEnd"/>
      <w:r>
        <w:rPr>
          <w:rFonts w:ascii="Times New Roman" w:hAnsi="Times New Roman" w:cs="Times New Roman"/>
          <w:i/>
          <w:iCs/>
        </w:rPr>
        <w:t xml:space="preserve"> </w:t>
      </w:r>
      <w:r>
        <w:rPr>
          <w:rFonts w:ascii="Times New Roman" w:hAnsi="Times New Roman" w:cs="Times New Roman"/>
        </w:rPr>
        <w:t xml:space="preserve">Largest racial minorities compared to </w:t>
      </w:r>
      <w:proofErr w:type="gramStart"/>
      <w:r>
        <w:rPr>
          <w:rFonts w:ascii="Times New Roman" w:hAnsi="Times New Roman" w:cs="Times New Roman"/>
        </w:rPr>
        <w:t>the majority of</w:t>
      </w:r>
      <w:proofErr w:type="gramEnd"/>
      <w:r>
        <w:rPr>
          <w:rFonts w:ascii="Times New Roman" w:hAnsi="Times New Roman" w:cs="Times New Roman"/>
        </w:rPr>
        <w:t xml:space="preserve"> the population in the United States (white)</w:t>
      </w:r>
    </w:p>
    <w:p w14:paraId="6AC23CE8" w14:textId="77777777" w:rsidR="0027579F" w:rsidRDefault="0027579F">
      <w:pPr>
        <w:rPr>
          <w:i/>
          <w:iCs/>
        </w:rPr>
      </w:pPr>
    </w:p>
    <w:p w14:paraId="38A790B6" w14:textId="77777777" w:rsidR="0027579F" w:rsidRDefault="0004369D">
      <w:pPr>
        <w:rPr>
          <w:i/>
          <w:iCs/>
        </w:rPr>
      </w:pPr>
      <w:r>
        <w:rPr>
          <w:i/>
          <w:iCs/>
        </w:rPr>
        <w:t>Identify causes and conditions that contribute to COVID-19 heath disparities.</w:t>
      </w:r>
    </w:p>
    <w:p w14:paraId="0F675656" w14:textId="77777777" w:rsidR="0027579F" w:rsidRDefault="0004369D">
      <w:pPr>
        <w:pStyle w:val="ListParagraph"/>
        <w:numPr>
          <w:ilvl w:val="0"/>
          <w:numId w:val="13"/>
        </w:numPr>
        <w:rPr>
          <w:rFonts w:ascii="Times New Roman" w:hAnsi="Times New Roman" w:cs="Times New Roman"/>
        </w:rPr>
      </w:pPr>
      <w:r>
        <w:rPr>
          <w:rFonts w:ascii="Times New Roman" w:hAnsi="Times New Roman" w:cs="Times New Roman"/>
        </w:rPr>
        <w:t xml:space="preserve">Based on the reading, is there evidence for biological or genetic differences in COVID-19 susceptibility based on race or ethnicity? </w:t>
      </w:r>
    </w:p>
    <w:p w14:paraId="0A67C7E9" w14:textId="77777777" w:rsidR="0027579F" w:rsidRDefault="0004369D">
      <w:pPr>
        <w:pStyle w:val="ListParagraph"/>
        <w:numPr>
          <w:ilvl w:val="1"/>
          <w:numId w:val="13"/>
        </w:numPr>
        <w:rPr>
          <w:rFonts w:ascii="Times New Roman" w:hAnsi="Times New Roman" w:cs="Times New Roman"/>
        </w:rPr>
      </w:pPr>
      <w:proofErr w:type="spellStart"/>
      <w:r>
        <w:rPr>
          <w:rFonts w:ascii="Times New Roman" w:hAnsi="Times New Roman" w:cs="Times New Roman"/>
          <w:i/>
          <w:iCs/>
        </w:rPr>
        <w:t>n.b.</w:t>
      </w:r>
      <w:proofErr w:type="spellEnd"/>
      <w:r>
        <w:rPr>
          <w:rFonts w:ascii="Times New Roman" w:hAnsi="Times New Roman" w:cs="Times New Roman"/>
          <w:i/>
          <w:iCs/>
        </w:rPr>
        <w:t xml:space="preserve"> </w:t>
      </w:r>
      <w:r>
        <w:rPr>
          <w:rFonts w:ascii="Times New Roman" w:hAnsi="Times New Roman" w:cs="Times New Roman"/>
        </w:rPr>
        <w:t>There are no biological or genetic differences in COVID-19 (unlikely that any will be identified, as compared to say,</w:t>
      </w:r>
      <w:r>
        <w:rPr>
          <w:rFonts w:ascii="Times New Roman" w:hAnsi="Times New Roman" w:cs="Times New Roman"/>
        </w:rPr>
        <w:t xml:space="preserve"> the occurrence of Tay-Sachs disease).</w:t>
      </w:r>
    </w:p>
    <w:p w14:paraId="4A6CDEA1" w14:textId="77777777" w:rsidR="0027579F" w:rsidRDefault="0004369D">
      <w:pPr>
        <w:pStyle w:val="ListParagraph"/>
        <w:numPr>
          <w:ilvl w:val="0"/>
          <w:numId w:val="13"/>
        </w:numPr>
        <w:rPr>
          <w:rFonts w:ascii="Times New Roman" w:hAnsi="Times New Roman" w:cs="Times New Roman"/>
        </w:rPr>
      </w:pPr>
      <w:r>
        <w:rPr>
          <w:rFonts w:ascii="Times New Roman" w:hAnsi="Times New Roman" w:cs="Times New Roman"/>
        </w:rPr>
        <w:t>How do socioeconomic status, chronic stress brought on by racial discrimination, and place-based risks contribute to racial health disparities?</w:t>
      </w:r>
    </w:p>
    <w:p w14:paraId="4DA5AE0A" w14:textId="77777777" w:rsidR="0027579F" w:rsidRDefault="0004369D">
      <w:pPr>
        <w:pStyle w:val="ListParagraph"/>
        <w:numPr>
          <w:ilvl w:val="0"/>
          <w:numId w:val="13"/>
        </w:numPr>
        <w:rPr>
          <w:rFonts w:ascii="Times New Roman" w:hAnsi="Times New Roman" w:cs="Times New Roman"/>
        </w:rPr>
      </w:pPr>
      <w:r>
        <w:rPr>
          <w:rFonts w:ascii="Times New Roman" w:hAnsi="Times New Roman" w:cs="Times New Roman"/>
        </w:rPr>
        <w:t xml:space="preserve">What experiences have you had regarding race/ethnicity and COVID-19? </w:t>
      </w:r>
    </w:p>
    <w:p w14:paraId="68129085" w14:textId="77777777" w:rsidR="0027579F" w:rsidRDefault="0004369D">
      <w:pPr>
        <w:pStyle w:val="ListParagraph"/>
        <w:numPr>
          <w:ilvl w:val="0"/>
          <w:numId w:val="13"/>
        </w:numPr>
        <w:rPr>
          <w:rFonts w:ascii="Times New Roman" w:hAnsi="Times New Roman" w:cs="Times New Roman"/>
        </w:rPr>
      </w:pPr>
      <w:r>
        <w:rPr>
          <w:rFonts w:ascii="Times New Roman" w:hAnsi="Times New Roman" w:cs="Times New Roman"/>
        </w:rPr>
        <w:lastRenderedPageBreak/>
        <w:t>Wha</w:t>
      </w:r>
      <w:r>
        <w:rPr>
          <w:rFonts w:ascii="Times New Roman" w:hAnsi="Times New Roman" w:cs="Times New Roman"/>
        </w:rPr>
        <w:t>t search methods would you use to find accurate information on racial disparities in access to healthcare?</w:t>
      </w:r>
    </w:p>
    <w:p w14:paraId="2B3F24D2" w14:textId="77777777" w:rsidR="0027579F" w:rsidRDefault="0027579F">
      <w:pPr>
        <w:rPr>
          <w:i/>
          <w:iCs/>
        </w:rPr>
      </w:pPr>
    </w:p>
    <w:p w14:paraId="30745259" w14:textId="77777777" w:rsidR="0027579F" w:rsidRDefault="0004369D">
      <w:pPr>
        <w:rPr>
          <w:i/>
          <w:iCs/>
        </w:rPr>
      </w:pPr>
      <w:r>
        <w:rPr>
          <w:i/>
          <w:iCs/>
        </w:rPr>
        <w:t>Differentiate between strategies for reducing COVID-19 health disparities from strategies for reducing overall population COVID-19 morbidity and mor</w:t>
      </w:r>
      <w:r>
        <w:rPr>
          <w:i/>
          <w:iCs/>
        </w:rPr>
        <w:t>tality.</w:t>
      </w:r>
    </w:p>
    <w:p w14:paraId="7987F3CD" w14:textId="77777777" w:rsidR="0027579F" w:rsidRDefault="0004369D">
      <w:pPr>
        <w:pStyle w:val="ListParagraph"/>
        <w:numPr>
          <w:ilvl w:val="0"/>
          <w:numId w:val="14"/>
        </w:numPr>
        <w:rPr>
          <w:rFonts w:ascii="Times New Roman" w:hAnsi="Times New Roman" w:cs="Times New Roman"/>
        </w:rPr>
      </w:pPr>
      <w:r>
        <w:rPr>
          <w:rFonts w:ascii="Times New Roman" w:hAnsi="Times New Roman" w:cs="Times New Roman"/>
        </w:rPr>
        <w:t>How does biological variation among humans influence COVID-19 susceptibility, morbidity, and mortality? How can we acknowledge these differences to improve quality of life?</w:t>
      </w:r>
    </w:p>
    <w:p w14:paraId="6FA0E6A5" w14:textId="77777777" w:rsidR="0027579F" w:rsidRDefault="0004369D">
      <w:pPr>
        <w:pStyle w:val="ListParagraph"/>
        <w:numPr>
          <w:ilvl w:val="0"/>
          <w:numId w:val="14"/>
        </w:numPr>
        <w:rPr>
          <w:rFonts w:ascii="Times New Roman" w:hAnsi="Times New Roman" w:cs="Times New Roman"/>
        </w:rPr>
      </w:pPr>
      <w:r>
        <w:rPr>
          <w:rFonts w:ascii="Times New Roman" w:hAnsi="Times New Roman" w:cs="Times New Roman"/>
        </w:rPr>
        <w:t xml:space="preserve">Mortality rates for </w:t>
      </w:r>
      <w:proofErr w:type="gramStart"/>
      <w:r>
        <w:rPr>
          <w:rFonts w:ascii="Times New Roman" w:hAnsi="Times New Roman" w:cs="Times New Roman"/>
        </w:rPr>
        <w:t>18 to 24 year-old</w:t>
      </w:r>
      <w:proofErr w:type="gramEnd"/>
      <w:r>
        <w:rPr>
          <w:rFonts w:ascii="Times New Roman" w:hAnsi="Times New Roman" w:cs="Times New Roman"/>
        </w:rPr>
        <w:t xml:space="preserve"> individuals remain very low. How does</w:t>
      </w:r>
      <w:r>
        <w:rPr>
          <w:rFonts w:ascii="Times New Roman" w:hAnsi="Times New Roman" w:cs="Times New Roman"/>
        </w:rPr>
        <w:t xml:space="preserve"> this age group catching and spreading COVID-19 potentially exacerbate the racial disparities in incidence and mortality? </w:t>
      </w:r>
    </w:p>
    <w:p w14:paraId="0ABD4CCB" w14:textId="77777777" w:rsidR="0027579F" w:rsidRDefault="0027579F">
      <w:pPr>
        <w:pStyle w:val="ListParagraph"/>
        <w:rPr>
          <w:rFonts w:ascii="Times New Roman" w:hAnsi="Times New Roman" w:cs="Times New Roman"/>
        </w:rPr>
      </w:pPr>
    </w:p>
    <w:p w14:paraId="1B37BD2C" w14:textId="77777777" w:rsidR="0027579F" w:rsidRDefault="0004369D">
      <w:pPr>
        <w:rPr>
          <w:i/>
          <w:iCs/>
        </w:rPr>
      </w:pPr>
      <w:r>
        <w:rPr>
          <w:i/>
          <w:iCs/>
        </w:rPr>
        <w:t xml:space="preserve">Consider how scientific arguments can be used to support racist ideas and how the scientific community can address these issues. </w:t>
      </w:r>
    </w:p>
    <w:p w14:paraId="44610804" w14:textId="77777777" w:rsidR="0027579F" w:rsidRDefault="0004369D">
      <w:pPr>
        <w:pStyle w:val="ListParagraph"/>
        <w:numPr>
          <w:ilvl w:val="0"/>
          <w:numId w:val="14"/>
        </w:numPr>
        <w:rPr>
          <w:rFonts w:ascii="Times New Roman" w:hAnsi="Times New Roman" w:cs="Times New Roman"/>
        </w:rPr>
      </w:pPr>
      <w:r>
        <w:rPr>
          <w:rFonts w:ascii="Times New Roman" w:hAnsi="Times New Roman" w:cs="Times New Roman"/>
        </w:rPr>
        <w:t>Wh</w:t>
      </w:r>
      <w:r>
        <w:rPr>
          <w:rFonts w:ascii="Times New Roman" w:hAnsi="Times New Roman" w:cs="Times New Roman"/>
        </w:rPr>
        <w:t xml:space="preserve">at other instances are you aware of where biology or genetics have been used to describe differences among racial or ethnic groups?  </w:t>
      </w:r>
    </w:p>
    <w:p w14:paraId="597D62C9" w14:textId="77777777" w:rsidR="0027579F" w:rsidRDefault="0004369D">
      <w:pPr>
        <w:pStyle w:val="ListParagraph"/>
        <w:numPr>
          <w:ilvl w:val="0"/>
          <w:numId w:val="14"/>
        </w:numPr>
        <w:rPr>
          <w:rFonts w:ascii="Times New Roman" w:hAnsi="Times New Roman" w:cs="Times New Roman"/>
        </w:rPr>
      </w:pPr>
      <w:r>
        <w:rPr>
          <w:rFonts w:ascii="Times New Roman" w:hAnsi="Times New Roman" w:cs="Times New Roman"/>
        </w:rPr>
        <w:t xml:space="preserve">Asian-Americans have been subject to </w:t>
      </w:r>
      <w:proofErr w:type="gramStart"/>
      <w:r>
        <w:rPr>
          <w:rFonts w:ascii="Times New Roman" w:hAnsi="Times New Roman" w:cs="Times New Roman"/>
        </w:rPr>
        <w:t>a number of</w:t>
      </w:r>
      <w:proofErr w:type="gramEnd"/>
      <w:r>
        <w:rPr>
          <w:rFonts w:ascii="Times New Roman" w:hAnsi="Times New Roman" w:cs="Times New Roman"/>
        </w:rPr>
        <w:t xml:space="preserve"> acts of hate due to the association of COVID-19 with its geographical ori</w:t>
      </w:r>
      <w:r>
        <w:rPr>
          <w:rFonts w:ascii="Times New Roman" w:hAnsi="Times New Roman" w:cs="Times New Roman"/>
        </w:rPr>
        <w:t>gin of emergence from Wuhan, China. These associations are often linked to behavior (e.g., the consumption of wild meats from wet markets). How would you engage in conversation with someone who blames this ethnic group for COVID-19?</w:t>
      </w:r>
    </w:p>
    <w:p w14:paraId="3A4390FC" w14:textId="77777777" w:rsidR="0027579F" w:rsidRDefault="0027579F"/>
    <w:p w14:paraId="4D1DF6D4" w14:textId="77777777" w:rsidR="0027579F" w:rsidRDefault="0004369D">
      <w:pPr>
        <w:rPr>
          <w:b/>
          <w:bCs/>
        </w:rPr>
      </w:pPr>
      <w:r>
        <w:rPr>
          <w:b/>
          <w:bCs/>
        </w:rPr>
        <w:t>In-class Synthesis Act</w:t>
      </w:r>
      <w:r>
        <w:rPr>
          <w:b/>
          <w:bCs/>
        </w:rPr>
        <w:t>ivity (</w:t>
      </w:r>
      <w:r>
        <w:rPr>
          <w:b/>
          <w:bCs/>
          <w:i/>
          <w:iCs/>
        </w:rPr>
        <w:t>optional</w:t>
      </w:r>
      <w:r>
        <w:rPr>
          <w:b/>
          <w:bCs/>
        </w:rPr>
        <w:t>)</w:t>
      </w:r>
    </w:p>
    <w:p w14:paraId="1192F058" w14:textId="77777777" w:rsidR="0027579F" w:rsidRDefault="0027579F"/>
    <w:p w14:paraId="4D1B24D4" w14:textId="77777777" w:rsidR="0027579F" w:rsidRDefault="0004369D">
      <w:pPr>
        <w:rPr>
          <w:rStyle w:val="Hyperlink"/>
        </w:rPr>
      </w:pPr>
      <w:r>
        <w:t xml:space="preserve">Look at this website: </w:t>
      </w:r>
      <w:hyperlink r:id="rId8" w:history="1">
        <w:r>
          <w:rPr>
            <w:rStyle w:val="Hyperlink"/>
          </w:rPr>
          <w:t>https://covid19.emory.edu/</w:t>
        </w:r>
      </w:hyperlink>
      <w:r>
        <w:rPr>
          <w:rStyle w:val="Hyperlink"/>
        </w:rPr>
        <w:t xml:space="preserve">. </w:t>
      </w:r>
      <w:r>
        <w:rPr>
          <w:rStyle w:val="Hyperlink"/>
          <w:color w:val="auto"/>
          <w:u w:val="none"/>
        </w:rPr>
        <w:t>Compare and contrast patterns within Orange County and Imperial County.</w:t>
      </w:r>
    </w:p>
    <w:p w14:paraId="2560B016" w14:textId="77777777" w:rsidR="0027579F" w:rsidRDefault="0004369D">
      <w:pPr>
        <w:pStyle w:val="ListParagraph"/>
        <w:numPr>
          <w:ilvl w:val="1"/>
          <w:numId w:val="11"/>
        </w:numPr>
        <w:rPr>
          <w:rFonts w:ascii="Times New Roman" w:hAnsi="Times New Roman" w:cs="Times New Roman"/>
        </w:rPr>
      </w:pPr>
      <w:r>
        <w:rPr>
          <w:rFonts w:ascii="Times New Roman" w:hAnsi="Times New Roman" w:cs="Times New Roman"/>
        </w:rPr>
        <w:t>How do the total cases between these two counties compare?</w:t>
      </w:r>
    </w:p>
    <w:p w14:paraId="094FF205" w14:textId="77777777" w:rsidR="0027579F" w:rsidRDefault="0004369D">
      <w:pPr>
        <w:pStyle w:val="ListParagraph"/>
        <w:numPr>
          <w:ilvl w:val="1"/>
          <w:numId w:val="11"/>
        </w:numPr>
        <w:rPr>
          <w:rFonts w:ascii="Times New Roman" w:hAnsi="Times New Roman" w:cs="Times New Roman"/>
        </w:rPr>
      </w:pPr>
      <w:r>
        <w:rPr>
          <w:rFonts w:ascii="Times New Roman" w:hAnsi="Times New Roman" w:cs="Times New Roman"/>
        </w:rPr>
        <w:t>How do the dem</w:t>
      </w:r>
      <w:r>
        <w:rPr>
          <w:rFonts w:ascii="Times New Roman" w:hAnsi="Times New Roman" w:cs="Times New Roman"/>
        </w:rPr>
        <w:t>ographics of the two counties compare?</w:t>
      </w:r>
    </w:p>
    <w:p w14:paraId="5B045BDE" w14:textId="77777777" w:rsidR="0027579F" w:rsidRDefault="0004369D">
      <w:pPr>
        <w:pStyle w:val="ListParagraph"/>
        <w:numPr>
          <w:ilvl w:val="1"/>
          <w:numId w:val="11"/>
        </w:numPr>
        <w:rPr>
          <w:rFonts w:ascii="Times New Roman" w:hAnsi="Times New Roman" w:cs="Times New Roman"/>
        </w:rPr>
      </w:pPr>
      <w:r>
        <w:rPr>
          <w:rFonts w:ascii="Times New Roman" w:hAnsi="Times New Roman" w:cs="Times New Roman"/>
        </w:rPr>
        <w:t>What differences between the two counties might be accounting for the differences in COVID cases?</w:t>
      </w:r>
    </w:p>
    <w:p w14:paraId="51453A60" w14:textId="77777777" w:rsidR="0027579F" w:rsidRDefault="0027579F">
      <w:pPr>
        <w:rPr>
          <w:b/>
          <w:bCs/>
        </w:rPr>
      </w:pPr>
    </w:p>
    <w:p w14:paraId="67DD4FD6" w14:textId="77777777" w:rsidR="0027579F" w:rsidRDefault="0004369D">
      <w:r>
        <w:rPr>
          <w:b/>
          <w:bCs/>
        </w:rPr>
        <w:t>Formative Assessment, Metacognition, and Reflection</w:t>
      </w:r>
    </w:p>
    <w:p w14:paraId="304CB237" w14:textId="77777777" w:rsidR="0027579F" w:rsidRDefault="0027579F">
      <w:pPr>
        <w:rPr>
          <w:b/>
          <w:bCs/>
        </w:rPr>
      </w:pPr>
    </w:p>
    <w:p w14:paraId="095DA9EC" w14:textId="77777777" w:rsidR="0027579F" w:rsidRDefault="0004369D">
      <w:r>
        <w:t xml:space="preserve">Students are asked to conclude the class session by completing one of the following exercises (Angelo and Cross, 1993): </w:t>
      </w:r>
    </w:p>
    <w:p w14:paraId="694C7037" w14:textId="77777777" w:rsidR="0027579F" w:rsidRDefault="0027579F"/>
    <w:p w14:paraId="3479D1A3" w14:textId="77777777" w:rsidR="0027579F" w:rsidRDefault="0004369D">
      <w:pPr>
        <w:pStyle w:val="ListParagraph"/>
        <w:numPr>
          <w:ilvl w:val="0"/>
          <w:numId w:val="15"/>
        </w:numPr>
        <w:rPr>
          <w:rFonts w:ascii="Times New Roman" w:hAnsi="Times New Roman" w:cs="Times New Roman"/>
        </w:rPr>
      </w:pPr>
      <w:r>
        <w:rPr>
          <w:rFonts w:ascii="Times New Roman" w:hAnsi="Times New Roman" w:cs="Times New Roman"/>
        </w:rPr>
        <w:t>Minute paper – Students take one minute to write their main takeaways from the discussion.</w:t>
      </w:r>
    </w:p>
    <w:p w14:paraId="406C2405" w14:textId="77777777" w:rsidR="0027579F" w:rsidRDefault="0004369D">
      <w:pPr>
        <w:pStyle w:val="ListParagraph"/>
        <w:numPr>
          <w:ilvl w:val="0"/>
          <w:numId w:val="15"/>
        </w:numPr>
        <w:rPr>
          <w:rFonts w:ascii="Times New Roman" w:hAnsi="Times New Roman" w:cs="Times New Roman"/>
        </w:rPr>
      </w:pPr>
      <w:r>
        <w:rPr>
          <w:rFonts w:ascii="Times New Roman" w:hAnsi="Times New Roman" w:cs="Times New Roman"/>
        </w:rPr>
        <w:t>Muddiest Point – In this variation of the m</w:t>
      </w:r>
      <w:r>
        <w:rPr>
          <w:rFonts w:ascii="Times New Roman" w:hAnsi="Times New Roman" w:cs="Times New Roman"/>
        </w:rPr>
        <w:t xml:space="preserve">inute paper, student focus their attention and writing on points from the discussion that raised the most questions for them or that they found to be most confusing. This can be especially helpful for discussions where students are likely to have </w:t>
      </w:r>
      <w:proofErr w:type="gramStart"/>
      <w:r>
        <w:rPr>
          <w:rFonts w:ascii="Times New Roman" w:hAnsi="Times New Roman" w:cs="Times New Roman"/>
        </w:rPr>
        <w:t>questions</w:t>
      </w:r>
      <w:proofErr w:type="gramEnd"/>
      <w:r>
        <w:rPr>
          <w:rFonts w:ascii="Times New Roman" w:hAnsi="Times New Roman" w:cs="Times New Roman"/>
        </w:rPr>
        <w:t xml:space="preserve"> they may not feel comfortable asking aloud.</w:t>
      </w:r>
    </w:p>
    <w:p w14:paraId="0FAEAA70" w14:textId="77777777" w:rsidR="0027579F" w:rsidRDefault="0004369D">
      <w:pPr>
        <w:pStyle w:val="ListParagraph"/>
        <w:numPr>
          <w:ilvl w:val="0"/>
          <w:numId w:val="15"/>
        </w:numPr>
        <w:rPr>
          <w:rFonts w:ascii="Times New Roman" w:hAnsi="Times New Roman" w:cs="Times New Roman"/>
        </w:rPr>
      </w:pPr>
      <w:r>
        <w:rPr>
          <w:rFonts w:ascii="Times New Roman" w:hAnsi="Times New Roman" w:cs="Times New Roman"/>
        </w:rPr>
        <w:t xml:space="preserve">Power Action – Students reflect on what they have learned and connect this with an action they will take </w:t>
      </w:r>
      <w:proofErr w:type="gramStart"/>
      <w:r>
        <w:rPr>
          <w:rFonts w:ascii="Times New Roman" w:hAnsi="Times New Roman" w:cs="Times New Roman"/>
        </w:rPr>
        <w:t>as a result of</w:t>
      </w:r>
      <w:proofErr w:type="gramEnd"/>
      <w:r>
        <w:rPr>
          <w:rFonts w:ascii="Times New Roman" w:hAnsi="Times New Roman" w:cs="Times New Roman"/>
        </w:rPr>
        <w:t xml:space="preserve"> what they have learned. For example, they may initiate a discussion with a friend who is no</w:t>
      </w:r>
      <w:r>
        <w:rPr>
          <w:rFonts w:ascii="Times New Roman" w:hAnsi="Times New Roman" w:cs="Times New Roman"/>
        </w:rPr>
        <w:t>t in the class, contact local or state representatives, or commit to practicing greater awareness of their own biases in daily life.</w:t>
      </w:r>
    </w:p>
    <w:p w14:paraId="3ACD3D44" w14:textId="77777777" w:rsidR="0027579F" w:rsidRDefault="0027579F"/>
    <w:p w14:paraId="6EB4247B" w14:textId="77777777" w:rsidR="0027579F" w:rsidRDefault="0004369D">
      <w:pPr>
        <w:rPr>
          <w:b/>
          <w:bCs/>
        </w:rPr>
      </w:pPr>
      <w:r>
        <w:rPr>
          <w:b/>
          <w:bCs/>
        </w:rPr>
        <w:t>References</w:t>
      </w:r>
    </w:p>
    <w:p w14:paraId="0FE8672A" w14:textId="77777777" w:rsidR="0027579F" w:rsidRDefault="0027579F"/>
    <w:p w14:paraId="61CA800F" w14:textId="77777777" w:rsidR="0027579F" w:rsidRDefault="0004369D">
      <w:pPr>
        <w:pStyle w:val="ListParagraph"/>
        <w:numPr>
          <w:ilvl w:val="0"/>
          <w:numId w:val="16"/>
        </w:numPr>
        <w:rPr>
          <w:rFonts w:ascii="Times New Roman" w:hAnsi="Times New Roman" w:cs="Times New Roman"/>
          <w:i/>
          <w:iCs/>
        </w:rPr>
      </w:pPr>
      <w:r>
        <w:rPr>
          <w:rFonts w:ascii="Times New Roman" w:hAnsi="Times New Roman" w:cs="Times New Roman"/>
        </w:rPr>
        <w:t xml:space="preserve">Angelo TA, Cross KP. (1993). Minute paper. </w:t>
      </w:r>
      <w:r>
        <w:rPr>
          <w:rFonts w:ascii="Times New Roman" w:hAnsi="Times New Roman" w:cs="Times New Roman"/>
          <w:i/>
          <w:iCs/>
        </w:rPr>
        <w:t xml:space="preserve">Classroom assessment techniques: A </w:t>
      </w:r>
    </w:p>
    <w:p w14:paraId="309FBC6E" w14:textId="77777777" w:rsidR="0027579F" w:rsidRDefault="0004369D">
      <w:pPr>
        <w:ind w:firstLine="720"/>
      </w:pPr>
      <w:r>
        <w:rPr>
          <w:i/>
          <w:iCs/>
        </w:rPr>
        <w:t>handbook for college teachers</w:t>
      </w:r>
      <w:r>
        <w:t xml:space="preserve">, </w:t>
      </w:r>
      <w:r>
        <w:t>148-153.</w:t>
      </w:r>
    </w:p>
    <w:p w14:paraId="7B0CA0E6" w14:textId="77777777" w:rsidR="0027579F" w:rsidRDefault="0027579F">
      <w:pPr>
        <w:ind w:firstLine="720"/>
      </w:pPr>
    </w:p>
    <w:p w14:paraId="2E8588B3" w14:textId="77777777" w:rsidR="0027579F" w:rsidRDefault="0004369D">
      <w:pPr>
        <w:pStyle w:val="ListParagraph"/>
        <w:numPr>
          <w:ilvl w:val="0"/>
          <w:numId w:val="16"/>
        </w:numPr>
      </w:pPr>
      <w:r>
        <w:rPr>
          <w:rFonts w:ascii="Times New Roman" w:hAnsi="Times New Roman" w:cs="Times New Roman"/>
        </w:rPr>
        <w:t xml:space="preserve">Clemmons A, Timmons J, Herron J, Crowe A. </w:t>
      </w:r>
      <w:proofErr w:type="spellStart"/>
      <w:r>
        <w:rPr>
          <w:rFonts w:ascii="Times New Roman" w:hAnsi="Times New Roman" w:cs="Times New Roman"/>
          <w:i/>
          <w:iCs/>
        </w:rPr>
        <w:t>BioSkills</w:t>
      </w:r>
      <w:proofErr w:type="spellEnd"/>
      <w:r>
        <w:rPr>
          <w:rFonts w:ascii="Times New Roman" w:hAnsi="Times New Roman" w:cs="Times New Roman"/>
          <w:i/>
          <w:iCs/>
        </w:rPr>
        <w:t xml:space="preserve"> Guide</w:t>
      </w:r>
      <w:r>
        <w:rPr>
          <w:rFonts w:ascii="Times New Roman" w:hAnsi="Times New Roman" w:cs="Times New Roman"/>
          <w:color w:val="2B2B2B"/>
        </w:rPr>
        <w:t>. Core Competencies for Undergraduate Biology (Version 5.0). QUBES Educational Resources. </w:t>
      </w:r>
      <w:hyperlink r:id="rId9" w:tgtFrame="_blank" w:history="1">
        <w:r>
          <w:rPr>
            <w:rFonts w:ascii="Times New Roman" w:hAnsi="Times New Roman" w:cs="Times New Roman"/>
            <w:color w:val="597F2F"/>
            <w:u w:val="single"/>
            <w:bdr w:val="none" w:sz="0" w:space="0" w:color="auto" w:frame="1"/>
          </w:rPr>
          <w:t>doi:10.25334/156H-T617</w:t>
        </w:r>
      </w:hyperlink>
    </w:p>
    <w:p w14:paraId="53D9F94B" w14:textId="77777777" w:rsidR="0027579F" w:rsidRDefault="0004369D">
      <w:pPr>
        <w:ind w:left="630" w:hanging="630"/>
        <w:rPr>
          <w:b/>
          <w:bCs/>
        </w:rPr>
      </w:pPr>
      <w:r>
        <w:rPr>
          <w:b/>
          <w:bCs/>
        </w:rPr>
        <w:t xml:space="preserve"> </w:t>
      </w:r>
    </w:p>
    <w:sectPr w:rsidR="002757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E8ADA" w14:textId="77777777" w:rsidR="0027579F" w:rsidRDefault="0004369D">
      <w:r>
        <w:separator/>
      </w:r>
    </w:p>
  </w:endnote>
  <w:endnote w:type="continuationSeparator" w:id="0">
    <w:p w14:paraId="245CA949" w14:textId="77777777" w:rsidR="0027579F" w:rsidRDefault="0004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D89E9" w14:textId="77777777" w:rsidR="0027579F" w:rsidRDefault="0004369D">
      <w:r>
        <w:separator/>
      </w:r>
    </w:p>
  </w:footnote>
  <w:footnote w:type="continuationSeparator" w:id="0">
    <w:p w14:paraId="3703C965" w14:textId="77777777" w:rsidR="0027579F" w:rsidRDefault="00043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1B49"/>
    <w:multiLevelType w:val="hybridMultilevel"/>
    <w:tmpl w:val="25687E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DF2A8F"/>
    <w:multiLevelType w:val="hybridMultilevel"/>
    <w:tmpl w:val="7CE6E1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B44BA"/>
    <w:multiLevelType w:val="hybridMultilevel"/>
    <w:tmpl w:val="9154B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4A24D7"/>
    <w:multiLevelType w:val="hybridMultilevel"/>
    <w:tmpl w:val="FD2ADB8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911D13"/>
    <w:multiLevelType w:val="hybridMultilevel"/>
    <w:tmpl w:val="4A0064D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6824A8"/>
    <w:multiLevelType w:val="hybridMultilevel"/>
    <w:tmpl w:val="BFD614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100BF4"/>
    <w:multiLevelType w:val="hybridMultilevel"/>
    <w:tmpl w:val="89228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7B11DB"/>
    <w:multiLevelType w:val="hybridMultilevel"/>
    <w:tmpl w:val="51AA3E9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261D69"/>
    <w:multiLevelType w:val="hybridMultilevel"/>
    <w:tmpl w:val="FF8432F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1A72B5"/>
    <w:multiLevelType w:val="hybridMultilevel"/>
    <w:tmpl w:val="40CE9D8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171FF7"/>
    <w:multiLevelType w:val="hybridMultilevel"/>
    <w:tmpl w:val="F4D06B6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4C46F1C"/>
    <w:multiLevelType w:val="hybridMultilevel"/>
    <w:tmpl w:val="A85EC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F36ACF"/>
    <w:multiLevelType w:val="hybridMultilevel"/>
    <w:tmpl w:val="75825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EC319F"/>
    <w:multiLevelType w:val="hybridMultilevel"/>
    <w:tmpl w:val="8E98C9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63F77"/>
    <w:multiLevelType w:val="hybridMultilevel"/>
    <w:tmpl w:val="F4D06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001037"/>
    <w:multiLevelType w:val="hybridMultilevel"/>
    <w:tmpl w:val="5B2C2C16"/>
    <w:lvl w:ilvl="0" w:tplc="3A8EBEE8">
      <w:start w:val="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5"/>
  </w:num>
  <w:num w:numId="4">
    <w:abstractNumId w:val="0"/>
  </w:num>
  <w:num w:numId="5">
    <w:abstractNumId w:val="2"/>
  </w:num>
  <w:num w:numId="6">
    <w:abstractNumId w:val="15"/>
  </w:num>
  <w:num w:numId="7">
    <w:abstractNumId w:val="4"/>
  </w:num>
  <w:num w:numId="8">
    <w:abstractNumId w:val="1"/>
  </w:num>
  <w:num w:numId="9">
    <w:abstractNumId w:val="3"/>
  </w:num>
  <w:num w:numId="10">
    <w:abstractNumId w:val="8"/>
  </w:num>
  <w:num w:numId="11">
    <w:abstractNumId w:val="14"/>
  </w:num>
  <w:num w:numId="12">
    <w:abstractNumId w:val="11"/>
  </w:num>
  <w:num w:numId="13">
    <w:abstractNumId w:val="6"/>
  </w:num>
  <w:num w:numId="14">
    <w:abstractNumId w:val="7"/>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79F"/>
    <w:rsid w:val="0004369D"/>
    <w:rsid w:val="00275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6727B"/>
  <w15:chartTrackingRefBased/>
  <w15:docId w15:val="{FE3ED5CE-674E-9B4F-855B-11FE02CA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style>
  <w:style w:type="character" w:styleId="UnresolvedMention">
    <w:name w:val="Unresolved Mention"/>
    <w:basedOn w:val="DefaultParagraphFont"/>
    <w:uiPriority w:val="99"/>
    <w:semiHidden/>
    <w:unhideWhenUsed/>
    <w:rPr>
      <w:color w:val="605E5C"/>
      <w:shd w:val="clear" w:color="auto" w:fill="E1DFDD"/>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41649">
      <w:bodyDiv w:val="1"/>
      <w:marLeft w:val="0"/>
      <w:marRight w:val="0"/>
      <w:marTop w:val="0"/>
      <w:marBottom w:val="0"/>
      <w:divBdr>
        <w:top w:val="none" w:sz="0" w:space="0" w:color="auto"/>
        <w:left w:val="none" w:sz="0" w:space="0" w:color="auto"/>
        <w:bottom w:val="none" w:sz="0" w:space="0" w:color="auto"/>
        <w:right w:val="none" w:sz="0" w:space="0" w:color="auto"/>
      </w:divBdr>
      <w:divsChild>
        <w:div w:id="1152218604">
          <w:marLeft w:val="0"/>
          <w:marRight w:val="0"/>
          <w:marTop w:val="0"/>
          <w:marBottom w:val="0"/>
          <w:divBdr>
            <w:top w:val="none" w:sz="0" w:space="0" w:color="auto"/>
            <w:left w:val="none" w:sz="0" w:space="0" w:color="auto"/>
            <w:bottom w:val="none" w:sz="0" w:space="0" w:color="auto"/>
            <w:right w:val="none" w:sz="0" w:space="0" w:color="auto"/>
          </w:divBdr>
          <w:divsChild>
            <w:div w:id="2031181488">
              <w:marLeft w:val="0"/>
              <w:marRight w:val="0"/>
              <w:marTop w:val="0"/>
              <w:marBottom w:val="240"/>
              <w:divBdr>
                <w:top w:val="none" w:sz="0" w:space="0" w:color="auto"/>
                <w:left w:val="none" w:sz="0" w:space="0" w:color="auto"/>
                <w:bottom w:val="none" w:sz="0" w:space="0" w:color="auto"/>
                <w:right w:val="none" w:sz="0" w:space="0" w:color="auto"/>
              </w:divBdr>
              <w:divsChild>
                <w:div w:id="1321349964">
                  <w:marLeft w:val="360"/>
                  <w:marRight w:val="96"/>
                  <w:marTop w:val="0"/>
                  <w:marBottom w:val="0"/>
                  <w:divBdr>
                    <w:top w:val="none" w:sz="0" w:space="0" w:color="auto"/>
                    <w:left w:val="none" w:sz="0" w:space="0" w:color="auto"/>
                    <w:bottom w:val="none" w:sz="0" w:space="0" w:color="auto"/>
                    <w:right w:val="none" w:sz="0" w:space="0" w:color="auto"/>
                  </w:divBdr>
                </w:div>
              </w:divsChild>
            </w:div>
            <w:div w:id="940647135">
              <w:marLeft w:val="0"/>
              <w:marRight w:val="0"/>
              <w:marTop w:val="0"/>
              <w:marBottom w:val="0"/>
              <w:divBdr>
                <w:top w:val="none" w:sz="0" w:space="0" w:color="auto"/>
                <w:left w:val="none" w:sz="0" w:space="0" w:color="auto"/>
                <w:bottom w:val="none" w:sz="0" w:space="0" w:color="auto"/>
                <w:right w:val="none" w:sz="0" w:space="0" w:color="auto"/>
              </w:divBdr>
              <w:divsChild>
                <w:div w:id="94380603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652225640">
      <w:bodyDiv w:val="1"/>
      <w:marLeft w:val="0"/>
      <w:marRight w:val="0"/>
      <w:marTop w:val="0"/>
      <w:marBottom w:val="0"/>
      <w:divBdr>
        <w:top w:val="none" w:sz="0" w:space="0" w:color="auto"/>
        <w:left w:val="none" w:sz="0" w:space="0" w:color="auto"/>
        <w:bottom w:val="none" w:sz="0" w:space="0" w:color="auto"/>
        <w:right w:val="none" w:sz="0" w:space="0" w:color="auto"/>
      </w:divBdr>
    </w:div>
    <w:div w:id="66848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vid19.emory.edu/" TargetMode="External"/><Relationship Id="rId3" Type="http://schemas.openxmlformats.org/officeDocument/2006/relationships/settings" Target="settings.xml"/><Relationship Id="rId7" Type="http://schemas.openxmlformats.org/officeDocument/2006/relationships/hyperlink" Target="https://www.brookings.edu/blog/up-front/2020/06/16/race-gaps-in-covid-19-deaths-are-even-bigger-than-they-appe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x.doi.org/10.25334/156H-T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Gray, Kelsey</dc:creator>
  <cp:keywords/>
  <dc:description/>
  <cp:lastModifiedBy>Laughtin-Dunker, Kristin</cp:lastModifiedBy>
  <cp:revision>2</cp:revision>
  <dcterms:created xsi:type="dcterms:W3CDTF">2021-07-06T18:04:00Z</dcterms:created>
  <dcterms:modified xsi:type="dcterms:W3CDTF">2021-07-06T18:04:00Z</dcterms:modified>
</cp:coreProperties>
</file>